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48" w:rsidRPr="004C2E5D" w:rsidRDefault="00E07F48" w:rsidP="00E07F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E5D">
        <w:rPr>
          <w:rFonts w:ascii="Times New Roman" w:hAnsi="Times New Roman" w:cs="Times New Roman"/>
        </w:rPr>
        <w:t xml:space="preserve">Załącznik Nr </w:t>
      </w:r>
      <w:r w:rsidR="002B05E4">
        <w:rPr>
          <w:rFonts w:ascii="Times New Roman" w:hAnsi="Times New Roman" w:cs="Times New Roman"/>
        </w:rPr>
        <w:t>3</w:t>
      </w:r>
      <w:r w:rsidRPr="004C2E5D">
        <w:rPr>
          <w:rFonts w:ascii="Times New Roman" w:hAnsi="Times New Roman" w:cs="Times New Roman"/>
        </w:rPr>
        <w:t xml:space="preserve"> do zapytania</w:t>
      </w:r>
    </w:p>
    <w:p w:rsidR="00E07F48" w:rsidRPr="004C2E5D" w:rsidRDefault="00E07F48" w:rsidP="00E07F48">
      <w:pPr>
        <w:pStyle w:val="Nagwek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C2E5D">
        <w:rPr>
          <w:rFonts w:ascii="Times New Roman" w:hAnsi="Times New Roman" w:cs="Times New Roman"/>
          <w:sz w:val="22"/>
          <w:szCs w:val="22"/>
          <w:lang w:val="de-DE"/>
        </w:rPr>
        <w:t xml:space="preserve">                                                                                                           </w:t>
      </w:r>
      <w:proofErr w:type="spellStart"/>
      <w:r w:rsidRPr="004C2E5D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4C2E5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4C2E5D">
        <w:rPr>
          <w:rFonts w:ascii="Times New Roman" w:hAnsi="Times New Roman" w:cs="Times New Roman"/>
          <w:sz w:val="22"/>
          <w:szCs w:val="22"/>
          <w:lang w:val="de-DE"/>
        </w:rPr>
        <w:t>spr</w:t>
      </w:r>
      <w:proofErr w:type="spellEnd"/>
      <w:r w:rsidRPr="004C2E5D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 w:rsidRPr="004C2E5D">
        <w:rPr>
          <w:rFonts w:ascii="Times New Roman" w:hAnsi="Times New Roman" w:cs="Times New Roman"/>
          <w:sz w:val="22"/>
          <w:szCs w:val="22"/>
        </w:rPr>
        <w:t>SP ZOZ/DZ/19/2022</w:t>
      </w:r>
    </w:p>
    <w:p w:rsidR="009C2320" w:rsidRDefault="009C2320">
      <w:pPr>
        <w:pStyle w:val="Standard"/>
        <w:tabs>
          <w:tab w:val="left" w:pos="286"/>
          <w:tab w:val="left" w:pos="375"/>
        </w:tabs>
        <w:spacing w:line="360" w:lineRule="auto"/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C2320" w:rsidRDefault="00D80E66">
      <w:pPr>
        <w:pStyle w:val="Standard"/>
        <w:tabs>
          <w:tab w:val="left" w:pos="286"/>
          <w:tab w:val="left" w:pos="375"/>
        </w:tabs>
        <w:spacing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WARUNKI GRANICZNE DLA ANALIZATORA</w:t>
      </w:r>
    </w:p>
    <w:p w:rsidR="009C2320" w:rsidRPr="00E07F48" w:rsidRDefault="00D80E66">
      <w:pPr>
        <w:pStyle w:val="Standard"/>
        <w:tabs>
          <w:tab w:val="left" w:pos="286"/>
          <w:tab w:val="left" w:pos="375"/>
        </w:tabs>
        <w:spacing w:line="360" w:lineRule="auto"/>
        <w:rPr>
          <w:rFonts w:ascii="Times New Roman" w:hAnsi="Times New Roman" w:cs="Times New Roman"/>
        </w:rPr>
      </w:pPr>
      <w:r w:rsidRPr="00E07F48">
        <w:rPr>
          <w:rFonts w:ascii="Times New Roman" w:hAnsi="Times New Roman" w:cs="Times New Roman"/>
          <w:b/>
          <w:bCs/>
          <w:color w:val="000000"/>
        </w:rPr>
        <w:t>Nazwa, typ, model: ……………………………………………………………..</w:t>
      </w:r>
    </w:p>
    <w:p w:rsidR="009C2320" w:rsidRPr="00E07F48" w:rsidRDefault="00D80E66">
      <w:pPr>
        <w:pStyle w:val="Standard"/>
        <w:tabs>
          <w:tab w:val="left" w:pos="286"/>
          <w:tab w:val="left" w:pos="375"/>
        </w:tabs>
        <w:spacing w:line="360" w:lineRule="auto"/>
        <w:rPr>
          <w:rFonts w:ascii="Times New Roman" w:hAnsi="Times New Roman" w:cs="Times New Roman"/>
        </w:rPr>
      </w:pPr>
      <w:r w:rsidRPr="00E07F48">
        <w:rPr>
          <w:rFonts w:ascii="Times New Roman" w:hAnsi="Times New Roman" w:cs="Times New Roman"/>
          <w:b/>
          <w:bCs/>
          <w:color w:val="000000"/>
        </w:rPr>
        <w:t>Producent: ………………………………………………………………………</w:t>
      </w:r>
    </w:p>
    <w:p w:rsidR="009C2320" w:rsidRPr="00E07F48" w:rsidRDefault="00D80E66">
      <w:pPr>
        <w:pStyle w:val="Standard"/>
        <w:tabs>
          <w:tab w:val="left" w:pos="286"/>
          <w:tab w:val="left" w:pos="375"/>
        </w:tabs>
        <w:spacing w:line="360" w:lineRule="auto"/>
        <w:rPr>
          <w:rFonts w:ascii="Times New Roman" w:hAnsi="Times New Roman" w:cs="Times New Roman"/>
        </w:rPr>
      </w:pPr>
      <w:r w:rsidRPr="00E07F48">
        <w:rPr>
          <w:rFonts w:ascii="Times New Roman" w:hAnsi="Times New Roman" w:cs="Times New Roman"/>
          <w:b/>
          <w:bCs/>
          <w:color w:val="000000"/>
        </w:rPr>
        <w:t>Kraj produkcji: …………………………………………………………………</w:t>
      </w:r>
    </w:p>
    <w:p w:rsidR="009C2320" w:rsidRPr="00E07F48" w:rsidRDefault="00D80E66">
      <w:pPr>
        <w:pStyle w:val="Standard"/>
        <w:tabs>
          <w:tab w:val="left" w:pos="286"/>
          <w:tab w:val="left" w:pos="375"/>
        </w:tabs>
        <w:spacing w:line="360" w:lineRule="auto"/>
        <w:rPr>
          <w:rFonts w:ascii="Times New Roman" w:hAnsi="Times New Roman" w:cs="Times New Roman"/>
        </w:rPr>
      </w:pPr>
      <w:r w:rsidRPr="00E07F48">
        <w:rPr>
          <w:rFonts w:ascii="Times New Roman" w:hAnsi="Times New Roman" w:cs="Times New Roman"/>
          <w:b/>
          <w:bCs/>
          <w:color w:val="000000"/>
        </w:rPr>
        <w:t>Rok produkcji: ………………………………………………………………….</w:t>
      </w:r>
    </w:p>
    <w:p w:rsidR="009C2320" w:rsidRPr="00E07F48" w:rsidRDefault="00D80E66">
      <w:pPr>
        <w:pStyle w:val="Standard"/>
        <w:tabs>
          <w:tab w:val="left" w:pos="286"/>
          <w:tab w:val="left" w:pos="375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E07F48">
        <w:rPr>
          <w:rFonts w:ascii="Times New Roman" w:hAnsi="Times New Roman" w:cs="Times New Roman"/>
          <w:b/>
          <w:bCs/>
          <w:color w:val="000000"/>
        </w:rPr>
        <w:t>Stan (nowy/używany) : …………………………………………………………</w:t>
      </w:r>
    </w:p>
    <w:tbl>
      <w:tblPr>
        <w:tblStyle w:val="Tabela-Siatka"/>
        <w:tblW w:w="0" w:type="auto"/>
        <w:tblInd w:w="-55" w:type="dxa"/>
        <w:tblCellMar>
          <w:left w:w="53" w:type="dxa"/>
        </w:tblCellMar>
        <w:tblLook w:val="04A0"/>
      </w:tblPr>
      <w:tblGrid>
        <w:gridCol w:w="541"/>
        <w:gridCol w:w="9604"/>
        <w:gridCol w:w="944"/>
        <w:gridCol w:w="3131"/>
      </w:tblGrid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Warunki graniczne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Wymóg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Informacja o spełnianiu warunku granicznego – należy wpisać słowo „TAK” lub „NIE”</w:t>
            </w: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z automatycznym podajnikiem próbek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RPr="00543F6C" w:rsidTr="00E07F48">
        <w:trPr>
          <w:trHeight w:val="386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Pr="00543F6C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auto"/>
                <w:sz w:val="18"/>
                <w:szCs w:val="18"/>
              </w:rPr>
            </w:pPr>
            <w:r w:rsidRPr="00543F6C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Pr="00543F6C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543F6C">
              <w:rPr>
                <w:rFonts w:ascii="Times New Roman" w:eastAsia="Times New Roman" w:hAnsi="Times New Roman" w:cs="Times New Roman"/>
                <w:color w:val="auto"/>
              </w:rPr>
              <w:t>Analizator fabrycznie nowy lub używany, rok produkcji nie starszy niż rok produkcji</w:t>
            </w:r>
            <w:r w:rsidRPr="00543F6C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 xml:space="preserve"> 2018 </w:t>
            </w:r>
            <w:r w:rsidRPr="00543F6C">
              <w:rPr>
                <w:rFonts w:ascii="Times New Roman" w:eastAsia="Times New Roman" w:hAnsi="Times New Roman" w:cs="Times New Roman"/>
                <w:color w:val="auto"/>
              </w:rPr>
              <w:t>r.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Pr="00543F6C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auto"/>
                <w:sz w:val="18"/>
                <w:szCs w:val="18"/>
              </w:rPr>
            </w:pPr>
            <w:r w:rsidRPr="00543F6C">
              <w:rPr>
                <w:rFonts w:ascii="Times New Roman" w:hAnsi="Times New Roman" w:cs="Times New Roman"/>
                <w:b/>
                <w:bCs/>
                <w:color w:val="auto"/>
              </w:rPr>
              <w:t>PODAĆ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Pr="00543F6C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Analizator posiadający udokumentowany przegląd serwisowy, wraz z udokumentowaną wymianą części </w:t>
            </w:r>
            <w:r>
              <w:rPr>
                <w:rFonts w:ascii="Times New Roman" w:hAnsi="Times New Roman"/>
              </w:rPr>
              <w:t>podlegających okresowym wymianom lub zużyciu.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Analizator umożliwiający analizę minimum 25 parametrów morfologii krwi z rozdziałem krwinek białych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możliwością wyboru trybu pracy CBC lub CBC/DIFF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rPr>
          <w:trHeight w:val="310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Wydajność analizatora minimum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90 o</w:t>
            </w:r>
            <w:r>
              <w:rPr>
                <w:rFonts w:ascii="Times New Roman" w:eastAsia="Times New Roman" w:hAnsi="Times New Roman" w:cs="Times New Roman"/>
              </w:rPr>
              <w:t>znaczeń na godzinę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rPr>
          <w:trHeight w:val="1076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Pomiar i rozdział krwinek białych w oparciu o metodę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cytometrii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przepływowej</w:t>
            </w:r>
          </w:p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(Oferent, którego oferta </w:t>
            </w:r>
            <w:r>
              <w:rPr>
                <w:rFonts w:ascii="Times New Roman" w:eastAsia="Times New Roman" w:hAnsi="Times New Roman" w:cs="Times New Roman"/>
              </w:rPr>
              <w:t>zostanie oceniona jako najkorzystniejsza zobowiązany będzie dostarczeniu Zamawiającemu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dokumentu potwierdzającego spełnienie powyższego warunku)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 w:rsidP="00E07F48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Wyniki wraz z przedziałami referencyjnymi przedstawiane w formie liczbowej oraz graficznej (wydruk na żądanie lub automatycznie).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Metoda barwienia chemicznego populacji bazofilów oraz </w:t>
            </w:r>
            <w:proofErr w:type="spellStart"/>
            <w:r>
              <w:rPr>
                <w:rFonts w:ascii="Times New Roman" w:hAnsi="Times New Roman"/>
              </w:rPr>
              <w:t>eozynofilów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Maksymalnie 5 odczynników do wykonania pełnej morfologii tj</w:t>
            </w:r>
            <w:r w:rsidR="00543F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 rozdziałem WBC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Pomiar </w:t>
            </w:r>
            <w:proofErr w:type="spellStart"/>
            <w:r>
              <w:rPr>
                <w:rFonts w:ascii="Times New Roman" w:hAnsi="Times New Roman"/>
              </w:rPr>
              <w:t>basofilów</w:t>
            </w:r>
            <w:proofErr w:type="spellEnd"/>
            <w:r>
              <w:rPr>
                <w:rFonts w:ascii="Times New Roman" w:hAnsi="Times New Roman"/>
              </w:rPr>
              <w:t xml:space="preserve"> w niezależnym dla nich kanale.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możliwość flagowania wyników, które znajdują się poza zakresem wartości prawidłowych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możliwość oceny niedojrzałych komórek z linii WBC jako odrębnej populacji wyrażonej w wartościach bezwzględnych i procentach.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zawory ceramiczne.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Możliwość podawania próbek w systemie otwartym i zamkniętym (bez konieczności otwierania próbki) oraz wykonywania oznaczeń w próbkach pediatrycznych w systemie manualnym.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Liniowość parametrów oznaczanych na zaoferowanym analizatorze: WBC 0 – 250 x10³/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RBC 0 – 8 x 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 – 26 g/dl,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0 - 65 %, PLT 0 – 2000 x 10³/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dwukierunkową transmisję danych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wewnętrzny  i zewnętrzny czytnik kodów kreskowych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Analizator wraz z zewnętrzną drukarką dającą możliwość wydrukowania wyniku badania, na którym będą znajdowały się dane zgodne z rozporządzeniem Ministra Zdrowia z dnia 21 stycznia 2009 r.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funkcję czyszczenia igły aspirującej, po każdym pobraniu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posiadający możliwość zdefiniowania więcej niż jednego zakresu wartości prawidłowych w zależności od wieku i płci pacjenta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Analizator posiadający wbudowany program kontroli jakości badań oparty o reguły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Westgarda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wykresy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Levey-Jenningsa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możliwością obliczeń statystycznych SD i CV.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W przypadku konieczności kalibracji analizatora czynność tę przeprowadza inżynier serwisu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Analizator wyposażony w UPS umożliwiający podtrzymanie pracy analizatora przez 30 minut.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rPr>
          <w:trHeight w:val="293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Instrukcje obsługi w zakresie eksploatacji i konserwacji analizatora w</w:t>
            </w:r>
            <w:r w:rsidR="00543F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języku polskim.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rPr>
          <w:trHeight w:val="576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Oprogramowanie analizatora w języku polskim.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rPr>
          <w:trHeight w:val="288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Nieodpłatna aktualizacja oprogramowania w czasie trwania umowy.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Zapewnienie autoryzowanego serwisu producenta oraz serwisu merytorycznego. Dostępność inżyniera serwisu 7 dni w tygodniu 24 godziny na dobę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Wydruk wyniku możliwy wraz z histogramami RBC i PLT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Analizator objęty gwarancją oraz serwisem technicznym przez cały okres trwania umowy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Montaż analizatora oraz przeglądy i niezbędne naprawy w przypadku awarii (w trakcie trwania umowy) w ramach opłaty dzierżawnej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przeglądów zgodna z instrukcją tech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niczną </w:t>
            </w:r>
            <w:r>
              <w:rPr>
                <w:rFonts w:ascii="Times New Roman" w:eastAsia="Times New Roman" w:hAnsi="Times New Roman" w:cs="Times New Roman"/>
              </w:rPr>
              <w:t>analizatora, jednak nie rzadziej niż 1 w roku.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Usunięcie awarii analizatora lub aparatury stanowiącej jego integralną część w czasie do 24 godzin od momentu zgłoszenia telefonicznego lub pisemnego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e-mail)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Możliwość zgłoszenia awarii 24 godziny na dobę 7 dni w tygodniu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Szkolenie personelu z zakresu obsługi i eksploatacji oraz konserwacji analizatora według potrzeb Zamawiającego, z potwierdzeniem w postaci certyfikatu imiennego dla przeszkolonych pracowników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Podłączenie analizatora do LIS </w:t>
            </w:r>
            <w:r>
              <w:rPr>
                <w:rFonts w:ascii="Times New Roman" w:hAnsi="Times New Roman"/>
                <w:color w:val="000000"/>
              </w:rPr>
              <w:t xml:space="preserve"> po stronie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Wykonawcy. Koszt podłączenia analizatora do systemu informatycznego posiadanego przez Zamawiającego ponosi Wykonawca (Laboratorium posiada system informatyczny firmy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Asseco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InfoMedica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Dostarczenie wraz z analizatorem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termometra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wilgotnościomierza celem monitorowania wymaganych warunków środowiskowych. Zapewnienie certyfikacji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termometra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wilgotnościomierza na okres 3 lat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37.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Automatyczne procedury konserwacyjne tj. codzienne czyszczenie aparatu, musi być procedurą nie wymagającą otwierania analizatora (jedynie podstawienia odczynnika czyszczącego pod sondę aspiracyjną).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38.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Wykonawca zapewnia bezpośredni kontakt z inżynierem serwisowym oferowanego analizatora bez pośrednictwa centrali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center)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2320" w:rsidTr="00E07F48">
        <w:trPr>
          <w:trHeight w:val="1022"/>
        </w:trPr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 w:rsidP="00E07F48">
            <w:pPr>
              <w:pStyle w:val="Standard"/>
              <w:tabs>
                <w:tab w:val="left" w:pos="286"/>
                <w:tab w:val="left" w:pos="375"/>
              </w:tabs>
              <w:jc w:val="center"/>
            </w:pPr>
            <w:r>
              <w:rPr>
                <w:rFonts w:ascii="Times New Roman" w:hAnsi="Times New Roman" w:cs="Times New Roman"/>
                <w:bCs/>
                <w:highlight w:val="white"/>
              </w:rPr>
              <w:t>39.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shd w:val="clear" w:color="auto" w:fill="FFFFFF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Grupa kontrolna dla oferowanych analizatorów w Centralnym Ośrodku Badania Jakości w Diagnostyce Laboratoryjnej nie mniejsza, niż 20 aparatów</w:t>
            </w:r>
          </w:p>
          <w:p w:rsidR="009C2320" w:rsidRDefault="00D80E66">
            <w:pPr>
              <w:pStyle w:val="Textbody"/>
              <w:tabs>
                <w:tab w:val="left" w:pos="286"/>
                <w:tab w:val="left" w:pos="3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Oferent, którego oferta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zostanie oceniona jako najkorzystniejsza zobowiązany będzie dostarczyć poświadczenie w tym zakresie. 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bookmarkStart w:id="0" w:name="__DdeLink__608_161152317"/>
            <w:bookmarkEnd w:id="0"/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20" w:rsidTr="00E07F48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</w:pPr>
            <w:r>
              <w:rPr>
                <w:highlight w:val="white"/>
              </w:rPr>
              <w:t>40.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Dostarczenie wraz z analizatorem </w:t>
            </w:r>
            <w:r>
              <w:rPr>
                <w:rFonts w:ascii="Times New Roman" w:hAnsi="Times New Roman"/>
              </w:rPr>
              <w:t>3 pipet – 2 pipet nastawnych, zmienno</w:t>
            </w:r>
            <w:r w:rsidR="00543F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pojemnościowych, jednokanałowych o pojemności 100 µl – 1000 µl oraz 1 pipety stało</w:t>
            </w:r>
            <w:r w:rsidR="00543F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pojemnościowej                          o pojemności 1000  µl.</w:t>
            </w:r>
          </w:p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Pipety z udzieloną gwarancją na okres 36 miesięcy.</w:t>
            </w:r>
          </w:p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Pipety muszą posiadać certyfikat kalibracji oraz świadectwo wzorcowania wystawione przez laboratorium akredytowane.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Times New Roman" w:hAnsi="Times New Roman"/>
              </w:rPr>
            </w:pPr>
          </w:p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20" w:rsidTr="00E07F48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</w:pPr>
            <w:r>
              <w:rPr>
                <w:highlight w:val="white"/>
              </w:rPr>
              <w:t>41.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Calibri" w:hAnsi="Calibri"/>
                <w:color w:val="000000"/>
              </w:rPr>
            </w:pPr>
            <w:bookmarkStart w:id="1" w:name="__DdeLink__1165_2088766913"/>
            <w:r>
              <w:rPr>
                <w:rFonts w:ascii="Times New Roman" w:hAnsi="Times New Roman"/>
                <w:color w:val="000000"/>
              </w:rPr>
              <w:t>Dostarczenie wraz z analizatorem</w:t>
            </w:r>
            <w:bookmarkEnd w:id="1"/>
            <w:r>
              <w:rPr>
                <w:rFonts w:ascii="Times New Roman" w:hAnsi="Times New Roman"/>
                <w:color w:val="000000"/>
              </w:rPr>
              <w:t xml:space="preserve"> mikroskopu do zastosowania w hematologii.</w:t>
            </w:r>
          </w:p>
          <w:p w:rsidR="009C2320" w:rsidRDefault="00D80E66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Parametry mikroskopu poniżej: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-źródło</w:t>
            </w:r>
            <w:r w:rsidR="00543F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oświetlenia: LED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-obiektywy: </w:t>
            </w:r>
            <w:r>
              <w:rPr>
                <w:rFonts w:ascii="Times New Roman" w:hAnsi="Times New Roman"/>
                <w:color w:val="000000"/>
                <w:w w:val="110"/>
              </w:rPr>
              <w:t>10x, 40x, 100x, 4x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w w:val="110"/>
              </w:rPr>
              <w:t>-regulacja</w:t>
            </w:r>
            <w:r w:rsidR="00543F6C">
              <w:rPr>
                <w:rFonts w:ascii="Times New Roman" w:hAnsi="Times New Roman"/>
                <w:color w:val="000000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10"/>
              </w:rPr>
              <w:t>ostrości:</w:t>
            </w:r>
            <w:r w:rsidR="00543F6C">
              <w:rPr>
                <w:rFonts w:ascii="Times New Roman" w:hAnsi="Times New Roman"/>
                <w:color w:val="000000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mikro</w:t>
            </w:r>
            <w:r>
              <w:rPr>
                <w:rFonts w:ascii="Times New Roman" w:hAnsi="Times New Roman"/>
                <w:color w:val="000000"/>
                <w:spacing w:val="-1"/>
                <w:w w:val="95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makro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-o</w:t>
            </w:r>
            <w:r>
              <w:rPr>
                <w:rFonts w:ascii="Times New Roman" w:hAnsi="Times New Roman"/>
                <w:color w:val="000000"/>
              </w:rPr>
              <w:t>świetlenie:</w:t>
            </w:r>
            <w:r w:rsidR="00543F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przechodzące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-głowica: binokularowa lub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trinokularowa</w:t>
            </w:r>
            <w:proofErr w:type="spellEnd"/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-rewolwer</w:t>
            </w:r>
            <w:r w:rsidR="00543F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obiektywowy: pięcioobiektywowy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-kondensor: </w:t>
            </w:r>
            <w:proofErr w:type="spellStart"/>
            <w:r>
              <w:rPr>
                <w:rFonts w:ascii="Times New Roman" w:hAnsi="Times New Roman"/>
                <w:color w:val="000000"/>
              </w:rPr>
              <w:t>Abbego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N.A. 1,25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-technika</w:t>
            </w:r>
            <w:r w:rsidR="00543F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obserwacji: j</w:t>
            </w:r>
            <w:r>
              <w:rPr>
                <w:rFonts w:ascii="Times New Roman" w:hAnsi="Times New Roman"/>
                <w:color w:val="000000"/>
                <w:spacing w:val="-1"/>
              </w:rPr>
              <w:t>asne</w:t>
            </w:r>
            <w:r w:rsidR="00543F6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pole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-p</w:t>
            </w:r>
            <w:r>
              <w:rPr>
                <w:rFonts w:ascii="Times New Roman" w:hAnsi="Times New Roman"/>
                <w:color w:val="000000"/>
              </w:rPr>
              <w:t>owiększenia</w:t>
            </w:r>
            <w:r w:rsidR="00543F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mikroskopu: </w:t>
            </w:r>
            <w:r>
              <w:rPr>
                <w:rFonts w:ascii="Times New Roman" w:hAnsi="Times New Roman"/>
                <w:color w:val="000000"/>
                <w:w w:val="110"/>
              </w:rPr>
              <w:t xml:space="preserve">40x, </w:t>
            </w: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10</w:t>
            </w:r>
            <w:r>
              <w:rPr>
                <w:rFonts w:ascii="Times New Roman" w:hAnsi="Times New Roman"/>
                <w:color w:val="000000"/>
                <w:w w:val="110"/>
              </w:rPr>
              <w:t>x, 1</w:t>
            </w: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00</w:t>
            </w:r>
            <w:r>
              <w:rPr>
                <w:rFonts w:ascii="Times New Roman" w:hAnsi="Times New Roman"/>
                <w:color w:val="000000"/>
                <w:w w:val="110"/>
              </w:rPr>
              <w:t xml:space="preserve">x, </w:t>
            </w: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1000x</w:t>
            </w:r>
          </w:p>
          <w:p w:rsidR="009C2320" w:rsidRDefault="00D80E66">
            <w:pPr>
              <w:tabs>
                <w:tab w:val="left" w:pos="5344"/>
              </w:tabs>
              <w:spacing w:before="76"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0"/>
              </w:rPr>
              <w:t>-mikroskop posiadający pokrętło blokady stolika (przełącznik-dźwignia)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320" w:rsidTr="00E07F48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D80E66">
            <w:pPr>
              <w:pStyle w:val="Tekstpodstawowy"/>
              <w:tabs>
                <w:tab w:val="left" w:pos="286"/>
                <w:tab w:val="left" w:pos="3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W okresie gwarancji, Wykonawca jest zobowiązany dokonać w ramach czynszu dzierżawnego naprawy urządzenia przed upływem 24 godzin od dokonania zgłoszenia. W przypadku nie usunięcia awarii w ciągu 24 godzin, Wykonawca pokrywa koszty wykonania badań oraz ich transportu do Podwykonawcy wskazanego przez Zamawiającego lub zapewni analizator zastępczy tego samego typu wraz z odczynnikami i materiałami zużywalnymi do czasu naprawy analizatora podstawowego i uzyskania prawidłowych wyników. W przypadku zapewnienia przez Wykonawcę transportu na czas awarii, Wykonawca pokrywa wyłącznie koszt badań wykonanych u Podwykonawcy wskazanego przez Zamawiającego.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9C2320" w:rsidRDefault="00D80E66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9C2320" w:rsidRDefault="009C2320">
            <w:pPr>
              <w:pStyle w:val="Standard"/>
              <w:tabs>
                <w:tab w:val="left" w:pos="286"/>
                <w:tab w:val="left" w:pos="3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320" w:rsidRDefault="009C2320">
      <w:pPr>
        <w:pStyle w:val="Standard"/>
        <w:tabs>
          <w:tab w:val="left" w:pos="286"/>
          <w:tab w:val="left" w:pos="375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9C2320" w:rsidRDefault="00D80E66">
      <w:pPr>
        <w:pStyle w:val="Akapitzlist"/>
        <w:tabs>
          <w:tab w:val="left" w:pos="286"/>
          <w:tab w:val="left" w:pos="375"/>
        </w:tabs>
        <w:ind w:left="0"/>
        <w:jc w:val="both"/>
        <w:rPr>
          <w:rFonts w:ascii="Verdana" w:hAnsi="Verdana"/>
          <w:sz w:val="18"/>
          <w:szCs w:val="18"/>
          <w:highlight w:val="white"/>
        </w:rPr>
      </w:pPr>
      <w:r>
        <w:rPr>
          <w:rFonts w:ascii="Times New Roman" w:hAnsi="Times New Roman"/>
          <w:shd w:val="clear" w:color="auto" w:fill="FFFFFF"/>
        </w:rPr>
        <w:t>Zamawiający nie dopuszcza analizatora regenerowanego, odtworzonego lub egzemplarza demonstracyjnego.</w:t>
      </w:r>
    </w:p>
    <w:p w:rsidR="009C2320" w:rsidRDefault="009C2320">
      <w:pPr>
        <w:pStyle w:val="Akapitzlist"/>
        <w:tabs>
          <w:tab w:val="left" w:pos="286"/>
          <w:tab w:val="left" w:pos="375"/>
        </w:tabs>
        <w:ind w:left="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9C2320" w:rsidRDefault="00D80E66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Times New Roman" w:hAnsi="Times New Roman" w:cs="Arial"/>
          <w:b/>
        </w:rPr>
        <w:t>UWAGA:</w:t>
      </w:r>
    </w:p>
    <w:p w:rsidR="009C2320" w:rsidRDefault="00D80E66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Times New Roman" w:hAnsi="Times New Roman" w:cs="Arial"/>
        </w:rPr>
        <w:t xml:space="preserve">Wypełnienie załącznika stanowi deklarację </w:t>
      </w:r>
      <w:r w:rsidR="00E07F48">
        <w:rPr>
          <w:rFonts w:ascii="Times New Roman" w:hAnsi="Times New Roman" w:cs="Arial"/>
        </w:rPr>
        <w:t>W</w:t>
      </w:r>
      <w:r>
        <w:rPr>
          <w:rFonts w:ascii="Times New Roman" w:hAnsi="Times New Roman" w:cs="Arial"/>
        </w:rPr>
        <w:t>ykonawcy, co do treści oferty. Brak jednoznacznych informacji stanowiących o treści oferty lub niespełnienie któregokolwiek z warunków granicznych spowoduje odrzucenie oferty.</w:t>
      </w:r>
    </w:p>
    <w:p w:rsidR="009C2320" w:rsidRDefault="00D80E66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Times New Roman" w:hAnsi="Times New Roman" w:cs="Arial"/>
        </w:rPr>
        <w:t>Deklaracje stanowiące o treści oferty nie podlegają uzupełnieniu.</w:t>
      </w:r>
    </w:p>
    <w:p w:rsidR="009C2320" w:rsidRDefault="009C2320">
      <w:pPr>
        <w:spacing w:after="0" w:line="240" w:lineRule="auto"/>
        <w:jc w:val="both"/>
        <w:rPr>
          <w:rFonts w:ascii="Times New Roman" w:hAnsi="Times New Roman" w:cs="Arial"/>
        </w:rPr>
      </w:pPr>
    </w:p>
    <w:p w:rsidR="009C2320" w:rsidRDefault="009C2320">
      <w:pPr>
        <w:pStyle w:val="Standard"/>
        <w:rPr>
          <w:rFonts w:ascii="Times New Roman" w:hAnsi="Times New Roman" w:cs="Times New Roman"/>
        </w:rPr>
      </w:pPr>
    </w:p>
    <w:p w:rsidR="009C2320" w:rsidRDefault="009C2320">
      <w:pPr>
        <w:pStyle w:val="Standard"/>
        <w:rPr>
          <w:rFonts w:ascii="Times New Roman" w:hAnsi="Times New Roman" w:cs="Times New Roman"/>
        </w:rPr>
      </w:pPr>
    </w:p>
    <w:p w:rsidR="009C2320" w:rsidRDefault="00D80E66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……………………………………………, dnia …………..…………… 2022 r.</w:t>
      </w:r>
    </w:p>
    <w:p w:rsidR="009C2320" w:rsidRDefault="009C2320">
      <w:pPr>
        <w:pStyle w:val="Standard"/>
        <w:rPr>
          <w:rFonts w:ascii="Times New Roman" w:hAnsi="Times New Roman" w:cs="Times New Roman"/>
        </w:rPr>
      </w:pPr>
    </w:p>
    <w:p w:rsidR="009C2320" w:rsidRDefault="009C2320">
      <w:pPr>
        <w:pStyle w:val="Standard"/>
        <w:rPr>
          <w:rFonts w:ascii="Times New Roman" w:hAnsi="Times New Roman" w:cs="Times New Roman"/>
        </w:rPr>
      </w:pPr>
    </w:p>
    <w:p w:rsidR="009C2320" w:rsidRDefault="00D80E66">
      <w:pPr>
        <w:pStyle w:val="Standard"/>
        <w:widowControl w:val="0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…………………………….…………………………</w:t>
      </w:r>
    </w:p>
    <w:p w:rsidR="009C2320" w:rsidRDefault="00D80E66">
      <w:pPr>
        <w:pStyle w:val="Standard"/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pieczęć i podpis upoważnionego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przedstawiciela/wykonawcy</w:t>
      </w:r>
    </w:p>
    <w:p w:rsidR="009C2320" w:rsidRDefault="009C2320">
      <w:pPr>
        <w:spacing w:after="0" w:line="240" w:lineRule="auto"/>
        <w:jc w:val="both"/>
        <w:rPr>
          <w:rFonts w:ascii="Times New Roman" w:hAnsi="Times New Roman"/>
        </w:rPr>
      </w:pPr>
    </w:p>
    <w:p w:rsidR="009C2320" w:rsidRDefault="009C2320">
      <w:pPr>
        <w:spacing w:after="0" w:line="240" w:lineRule="auto"/>
        <w:jc w:val="both"/>
        <w:rPr>
          <w:rFonts w:ascii="Times New Roman" w:hAnsi="Times New Roman"/>
        </w:rPr>
      </w:pPr>
    </w:p>
    <w:p w:rsidR="009C2320" w:rsidRDefault="009C2320">
      <w:pPr>
        <w:spacing w:after="0" w:line="240" w:lineRule="auto"/>
        <w:jc w:val="both"/>
        <w:rPr>
          <w:rFonts w:ascii="Times New Roman" w:hAnsi="Times New Roman"/>
        </w:rPr>
      </w:pPr>
    </w:p>
    <w:p w:rsidR="009C2320" w:rsidRDefault="009C232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167" w:type="dxa"/>
        <w:tblInd w:w="-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/>
      </w:tblPr>
      <w:tblGrid>
        <w:gridCol w:w="621"/>
        <w:gridCol w:w="5909"/>
        <w:gridCol w:w="4273"/>
        <w:gridCol w:w="3364"/>
      </w:tblGrid>
      <w:tr w:rsidR="009C2320" w:rsidTr="00E07F48"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Kryterium oceny: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Punkty</w:t>
            </w:r>
          </w:p>
        </w:tc>
        <w:tc>
          <w:tcPr>
            <w:tcW w:w="3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Wartość oferowana</w:t>
            </w:r>
          </w:p>
        </w:tc>
      </w:tr>
      <w:tr w:rsidR="009C2320" w:rsidTr="00E07F48"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jc w:val="center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Stan techniczny analizatora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9C2320" w:rsidRDefault="00D80E66" w:rsidP="00E07F48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Nowy                                                40 pkt</w:t>
            </w:r>
            <w:r w:rsidR="00543F6C">
              <w:rPr>
                <w:rFonts w:ascii="Times New Roman" w:hAnsi="Times New Roman"/>
                <w:b/>
              </w:rPr>
              <w:t>.</w:t>
            </w:r>
          </w:p>
          <w:p w:rsidR="009C2320" w:rsidRDefault="00D80E66" w:rsidP="00E07F48">
            <w:pPr>
              <w:pStyle w:val="Zawartotabeli"/>
              <w:spacing w:after="0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" w:hAnsi="Times New Roman"/>
                <w:b/>
              </w:rPr>
              <w:t>Używany                                            0 pkt</w:t>
            </w:r>
            <w:r w:rsidR="00543F6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9C2320" w:rsidRDefault="009C2320" w:rsidP="00E07F4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:rsidR="009C2320" w:rsidRDefault="009C2320">
      <w:pPr>
        <w:spacing w:after="0" w:line="240" w:lineRule="auto"/>
        <w:jc w:val="both"/>
      </w:pPr>
    </w:p>
    <w:p w:rsidR="009C2320" w:rsidRDefault="009C2320">
      <w:pPr>
        <w:spacing w:after="0" w:line="240" w:lineRule="auto"/>
        <w:jc w:val="both"/>
      </w:pPr>
    </w:p>
    <w:p w:rsidR="009C2320" w:rsidRDefault="009C2320">
      <w:pPr>
        <w:spacing w:after="0" w:line="240" w:lineRule="auto"/>
        <w:jc w:val="both"/>
        <w:rPr>
          <w:highlight w:val="yellow"/>
        </w:rPr>
      </w:pPr>
    </w:p>
    <w:p w:rsidR="009C2320" w:rsidRDefault="009C2320">
      <w:pPr>
        <w:spacing w:after="0" w:line="240" w:lineRule="auto"/>
        <w:jc w:val="both"/>
        <w:rPr>
          <w:highlight w:val="yellow"/>
        </w:rPr>
      </w:pPr>
    </w:p>
    <w:p w:rsidR="009C2320" w:rsidRDefault="009C2320">
      <w:pPr>
        <w:spacing w:after="0" w:line="240" w:lineRule="auto"/>
        <w:jc w:val="both"/>
        <w:rPr>
          <w:highlight w:val="yellow"/>
        </w:rPr>
      </w:pPr>
    </w:p>
    <w:p w:rsidR="009C2320" w:rsidRDefault="009C2320">
      <w:pPr>
        <w:spacing w:after="0" w:line="240" w:lineRule="auto"/>
        <w:jc w:val="both"/>
        <w:rPr>
          <w:highlight w:val="yellow"/>
        </w:rPr>
      </w:pPr>
    </w:p>
    <w:p w:rsidR="009C2320" w:rsidRDefault="009C2320">
      <w:pPr>
        <w:spacing w:after="0" w:line="240" w:lineRule="auto"/>
        <w:jc w:val="both"/>
      </w:pPr>
    </w:p>
    <w:sectPr w:rsidR="009C2320" w:rsidSect="009C232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9C2320"/>
    <w:rsid w:val="002B05E4"/>
    <w:rsid w:val="00543F6C"/>
    <w:rsid w:val="00684089"/>
    <w:rsid w:val="009C2320"/>
    <w:rsid w:val="00D80E66"/>
    <w:rsid w:val="00E07F48"/>
    <w:rsid w:val="00E72EF7"/>
    <w:rsid w:val="00FD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6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C2320"/>
    <w:rPr>
      <w:rFonts w:eastAsia="Calibri" w:cs="Tahoma"/>
      <w:b w:val="0"/>
      <w:color w:val="000000"/>
      <w:sz w:val="24"/>
    </w:rPr>
  </w:style>
  <w:style w:type="character" w:customStyle="1" w:styleId="ListLabel2">
    <w:name w:val="ListLabel 2"/>
    <w:qFormat/>
    <w:rsid w:val="009C2320"/>
    <w:rPr>
      <w:rFonts w:eastAsia="Calibri" w:cs="Tahoma"/>
      <w:b w:val="0"/>
      <w:color w:val="000000"/>
      <w:sz w:val="24"/>
    </w:rPr>
  </w:style>
  <w:style w:type="character" w:customStyle="1" w:styleId="Wyrnienie">
    <w:name w:val="Wyróżnienie"/>
    <w:qFormat/>
    <w:rsid w:val="009C2320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C23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C2320"/>
    <w:pPr>
      <w:spacing w:after="140" w:line="288" w:lineRule="auto"/>
    </w:pPr>
  </w:style>
  <w:style w:type="paragraph" w:styleId="Lista">
    <w:name w:val="List"/>
    <w:basedOn w:val="Tekstpodstawowy"/>
    <w:rsid w:val="009C2320"/>
    <w:rPr>
      <w:rFonts w:cs="Mangal"/>
    </w:rPr>
  </w:style>
  <w:style w:type="paragraph" w:customStyle="1" w:styleId="Caption">
    <w:name w:val="Caption"/>
    <w:basedOn w:val="Normalny"/>
    <w:qFormat/>
    <w:rsid w:val="009C23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320"/>
    <w:pPr>
      <w:suppressLineNumbers/>
    </w:pPr>
    <w:rPr>
      <w:rFonts w:cs="Mangal"/>
    </w:rPr>
  </w:style>
  <w:style w:type="paragraph" w:customStyle="1" w:styleId="Standard">
    <w:name w:val="Standard"/>
    <w:qFormat/>
    <w:rsid w:val="00AA077C"/>
    <w:pPr>
      <w:suppressAutoHyphens/>
      <w:textAlignment w:val="baseline"/>
    </w:pPr>
    <w:rPr>
      <w:rFonts w:eastAsia="Segoe UI" w:cs="Tahoma"/>
      <w:color w:val="00000A"/>
      <w:sz w:val="22"/>
      <w:lang w:eastAsia="pl-PL"/>
    </w:rPr>
  </w:style>
  <w:style w:type="paragraph" w:customStyle="1" w:styleId="Textbody">
    <w:name w:val="Text body"/>
    <w:basedOn w:val="Standard"/>
    <w:qFormat/>
    <w:rsid w:val="00AA077C"/>
    <w:pPr>
      <w:spacing w:after="140" w:line="288" w:lineRule="auto"/>
    </w:pPr>
  </w:style>
  <w:style w:type="paragraph" w:styleId="Akapitzlist">
    <w:name w:val="List Paragraph"/>
    <w:basedOn w:val="Standard"/>
    <w:qFormat/>
    <w:rsid w:val="00AA077C"/>
    <w:pPr>
      <w:ind w:left="720"/>
    </w:pPr>
  </w:style>
  <w:style w:type="paragraph" w:customStyle="1" w:styleId="Zawartotabeli">
    <w:name w:val="Zawartość tabeli"/>
    <w:basedOn w:val="Normalny"/>
    <w:qFormat/>
    <w:rsid w:val="009C2320"/>
  </w:style>
  <w:style w:type="paragraph" w:customStyle="1" w:styleId="Nagwektabeli">
    <w:name w:val="Nagłówek tabeli"/>
    <w:basedOn w:val="Zawartotabeli"/>
    <w:qFormat/>
    <w:rsid w:val="009C2320"/>
  </w:style>
  <w:style w:type="table" w:styleId="Tabela-Siatka">
    <w:name w:val="Table Grid"/>
    <w:basedOn w:val="Standardowy"/>
    <w:uiPriority w:val="59"/>
    <w:rsid w:val="00AA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07F48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1154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6</cp:revision>
  <dcterms:created xsi:type="dcterms:W3CDTF">2022-05-10T07:22:00Z</dcterms:created>
  <dcterms:modified xsi:type="dcterms:W3CDTF">2022-05-10T09:22:00Z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